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950" w14:textId="77777777" w:rsidR="00986D56" w:rsidRPr="00986D56" w:rsidRDefault="00FF06AD" w:rsidP="00986D56">
      <w:pPr>
        <w:pStyle w:val="Title"/>
        <w:jc w:val="center"/>
        <w:rPr>
          <w:rFonts w:eastAsia="Times New Roman"/>
          <w:b/>
          <w:bCs/>
          <w:sz w:val="48"/>
          <w:szCs w:val="48"/>
          <w:lang w:eastAsia="en-GB"/>
        </w:rPr>
      </w:pPr>
      <w:r w:rsidRPr="00986D56">
        <w:rPr>
          <w:rFonts w:eastAsia="Times New Roman"/>
          <w:b/>
          <w:bCs/>
          <w:sz w:val="48"/>
          <w:szCs w:val="48"/>
          <w:lang w:eastAsia="en-GB"/>
        </w:rPr>
        <w:t>Assets and Estates Manager</w:t>
      </w:r>
    </w:p>
    <w:p w14:paraId="6E97955B" w14:textId="2A783709" w:rsidR="00FF06AD" w:rsidRPr="00986D56" w:rsidRDefault="00FF06AD" w:rsidP="001C128E">
      <w:pPr>
        <w:pStyle w:val="Title"/>
        <w:spacing w:after="0"/>
        <w:jc w:val="center"/>
        <w:rPr>
          <w:rFonts w:eastAsia="Times New Roman"/>
          <w:b/>
          <w:bCs/>
          <w:sz w:val="48"/>
          <w:szCs w:val="48"/>
          <w:lang w:eastAsia="en-GB"/>
        </w:rPr>
      </w:pPr>
      <w:proofErr w:type="spellStart"/>
      <w:r w:rsidRPr="001C128E">
        <w:rPr>
          <w:rFonts w:eastAsia="Times New Roman"/>
          <w:b/>
          <w:bCs/>
          <w:sz w:val="44"/>
          <w:szCs w:val="44"/>
          <w:lang w:eastAsia="en-GB"/>
        </w:rPr>
        <w:t>Northstowe</w:t>
      </w:r>
      <w:proofErr w:type="spellEnd"/>
      <w:r w:rsidRPr="001C128E">
        <w:rPr>
          <w:rFonts w:eastAsia="Times New Roman"/>
          <w:b/>
          <w:bCs/>
          <w:sz w:val="44"/>
          <w:szCs w:val="44"/>
          <w:lang w:eastAsia="en-GB"/>
        </w:rPr>
        <w:t xml:space="preserve"> Town Council</w:t>
      </w:r>
    </w:p>
    <w:p w14:paraId="7CD30D06" w14:textId="77777777" w:rsidR="00FF06AD" w:rsidRPr="00986D56" w:rsidRDefault="00FF06AD" w:rsidP="00673B13">
      <w:pPr>
        <w:rPr>
          <w:sz w:val="18"/>
          <w:szCs w:val="18"/>
          <w:lang w:eastAsia="en-GB"/>
        </w:rPr>
      </w:pPr>
    </w:p>
    <w:p w14:paraId="7258B693" w14:textId="29400BD4" w:rsidR="00355A0F" w:rsidRPr="00986D56" w:rsidRDefault="00986D56" w:rsidP="00355A0F">
      <w:pPr>
        <w:pStyle w:val="Title"/>
        <w:rPr>
          <w:rFonts w:eastAsia="Times New Roman"/>
          <w:b/>
          <w:bCs/>
          <w:sz w:val="32"/>
          <w:szCs w:val="32"/>
          <w:lang w:eastAsia="en-GB"/>
        </w:rPr>
      </w:pPr>
      <w:r w:rsidRPr="00986D56">
        <w:rPr>
          <w:rFonts w:eastAsia="Times New Roman"/>
          <w:b/>
          <w:bCs/>
          <w:sz w:val="32"/>
          <w:szCs w:val="32"/>
          <w:lang w:eastAsia="en-GB"/>
        </w:rPr>
        <w:t>Job Description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371"/>
      </w:tblGrid>
      <w:tr w:rsidR="001C2CE6" w:rsidRPr="005E23B5" w14:paraId="49A3F6D8" w14:textId="77777777" w:rsidTr="00986D56">
        <w:tc>
          <w:tcPr>
            <w:tcW w:w="2547" w:type="dxa"/>
            <w:shd w:val="clear" w:color="auto" w:fill="auto"/>
          </w:tcPr>
          <w:p w14:paraId="31AFB1BA" w14:textId="11F3F351" w:rsidR="001C2CE6" w:rsidRPr="005E23B5" w:rsidRDefault="003A160E" w:rsidP="004A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Job Title</w:t>
            </w:r>
          </w:p>
        </w:tc>
        <w:tc>
          <w:tcPr>
            <w:tcW w:w="7371" w:type="dxa"/>
            <w:shd w:val="clear" w:color="auto" w:fill="auto"/>
          </w:tcPr>
          <w:p w14:paraId="3C41F6C0" w14:textId="5342323F" w:rsidR="001C2CE6" w:rsidRPr="003C0E83" w:rsidRDefault="003A160E" w:rsidP="004A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color w:val="000000"/>
              </w:rPr>
            </w:pPr>
            <w:r w:rsidRPr="003C0E83">
              <w:rPr>
                <w:rFonts w:ascii="Arial Nova" w:eastAsia="Arial Nova" w:hAnsi="Arial Nova" w:cs="Arial Nova"/>
                <w:b/>
                <w:bCs/>
                <w:color w:val="000000"/>
              </w:rPr>
              <w:t>Assets &amp; Estates Manager</w:t>
            </w:r>
          </w:p>
        </w:tc>
      </w:tr>
      <w:tr w:rsidR="008F5A1C" w:rsidRPr="005E23B5" w14:paraId="2DA50122" w14:textId="77777777" w:rsidTr="00986D56">
        <w:tc>
          <w:tcPr>
            <w:tcW w:w="2547" w:type="dxa"/>
            <w:shd w:val="clear" w:color="auto" w:fill="auto"/>
          </w:tcPr>
          <w:p w14:paraId="02224407" w14:textId="77777777" w:rsidR="008F5A1C" w:rsidRDefault="008F5A1C" w:rsidP="00285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Responsible to</w:t>
            </w:r>
          </w:p>
        </w:tc>
        <w:tc>
          <w:tcPr>
            <w:tcW w:w="7371" w:type="dxa"/>
            <w:shd w:val="clear" w:color="auto" w:fill="auto"/>
          </w:tcPr>
          <w:p w14:paraId="77986D46" w14:textId="77777777" w:rsidR="008F5A1C" w:rsidRDefault="008F5A1C" w:rsidP="00285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Town Clerk</w:t>
            </w:r>
          </w:p>
        </w:tc>
      </w:tr>
      <w:tr w:rsidR="00B34FEF" w:rsidRPr="005E23B5" w14:paraId="41F632A4" w14:textId="77777777" w:rsidTr="00986D56">
        <w:trPr>
          <w:trHeight w:val="300"/>
        </w:trPr>
        <w:tc>
          <w:tcPr>
            <w:tcW w:w="2547" w:type="dxa"/>
            <w:shd w:val="clear" w:color="auto" w:fill="auto"/>
          </w:tcPr>
          <w:p w14:paraId="3AE6E6FA" w14:textId="683B573D" w:rsidR="00B34FEF" w:rsidRDefault="386DCAAA" w:rsidP="6564D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color w:val="000000"/>
              </w:rPr>
            </w:pPr>
            <w:r w:rsidRPr="6564DEA9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Responsible for</w:t>
            </w:r>
          </w:p>
        </w:tc>
        <w:tc>
          <w:tcPr>
            <w:tcW w:w="7371" w:type="dxa"/>
            <w:shd w:val="clear" w:color="auto" w:fill="auto"/>
          </w:tcPr>
          <w:p w14:paraId="4737C7BB" w14:textId="1CD3A63E" w:rsidR="00B34FEF" w:rsidRDefault="352D46B4" w:rsidP="3EBCC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3EBCCA7D">
              <w:rPr>
                <w:rFonts w:eastAsiaTheme="minorEastAsia"/>
                <w:color w:val="000000" w:themeColor="text1"/>
              </w:rPr>
              <w:t xml:space="preserve">Acquisition, preparation, </w:t>
            </w:r>
            <w:r w:rsidR="115189CA" w:rsidRPr="3EBCCA7D">
              <w:rPr>
                <w:rFonts w:eastAsiaTheme="minorEastAsia"/>
                <w:color w:val="000000" w:themeColor="text1"/>
              </w:rPr>
              <w:t>management</w:t>
            </w:r>
            <w:r w:rsidRPr="3EBCCA7D">
              <w:rPr>
                <w:rFonts w:eastAsiaTheme="minorEastAsia"/>
                <w:color w:val="000000" w:themeColor="text1"/>
              </w:rPr>
              <w:t>, maintenance and compliance of all NTC assets and estate.</w:t>
            </w:r>
            <w:r w:rsidRPr="3EBCCA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</w:t>
            </w:r>
            <w:r w:rsidR="5BE2B3BA" w:rsidRPr="3EBCCA7D">
              <w:rPr>
                <w:rFonts w:ascii="Arial Nova" w:eastAsia="Arial Nova" w:hAnsi="Arial Nova" w:cs="Arial Nova"/>
                <w:color w:val="000000" w:themeColor="text1"/>
              </w:rPr>
              <w:t>Potential line management</w:t>
            </w:r>
            <w:r w:rsidR="5AEAE69B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 </w:t>
            </w:r>
            <w:r w:rsidR="5BE2B3BA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for </w:t>
            </w:r>
            <w:r w:rsidR="5096798F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future </w:t>
            </w:r>
            <w:r w:rsidR="61BB5B3E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staff working at </w:t>
            </w:r>
            <w:r w:rsidR="4FAD4019" w:rsidRPr="3EBCCA7D">
              <w:rPr>
                <w:rFonts w:ascii="Arial Nova" w:eastAsia="Arial Nova" w:hAnsi="Arial Nova" w:cs="Arial Nova"/>
                <w:color w:val="000000" w:themeColor="text1"/>
              </w:rPr>
              <w:t>the U</w:t>
            </w:r>
            <w:r w:rsidR="61BB5B3E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nity </w:t>
            </w:r>
            <w:r w:rsidR="0F6B8914" w:rsidRPr="3EBCCA7D">
              <w:rPr>
                <w:rFonts w:ascii="Arial Nova" w:eastAsia="Arial Nova" w:hAnsi="Arial Nova" w:cs="Arial Nova"/>
                <w:color w:val="000000" w:themeColor="text1"/>
              </w:rPr>
              <w:t>C</w:t>
            </w:r>
            <w:r w:rsidR="61BB5B3E" w:rsidRPr="3EBCCA7D">
              <w:rPr>
                <w:rFonts w:ascii="Arial Nova" w:eastAsia="Arial Nova" w:hAnsi="Arial Nova" w:cs="Arial Nova"/>
                <w:color w:val="000000" w:themeColor="text1"/>
              </w:rPr>
              <w:t>entre or other assets to be transferred to the Town Council.</w:t>
            </w:r>
          </w:p>
        </w:tc>
      </w:tr>
      <w:tr w:rsidR="003A160E" w:rsidRPr="005E23B5" w14:paraId="0D6A4F26" w14:textId="77777777" w:rsidTr="00986D56">
        <w:tc>
          <w:tcPr>
            <w:tcW w:w="2547" w:type="dxa"/>
            <w:shd w:val="clear" w:color="auto" w:fill="auto"/>
          </w:tcPr>
          <w:p w14:paraId="6D6251EC" w14:textId="77777777" w:rsidR="003A160E" w:rsidRPr="005E23B5" w:rsidRDefault="003A160E" w:rsidP="00E11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b/>
                <w:color w:val="000000"/>
              </w:rPr>
              <w:t xml:space="preserve">Hours of Work: </w:t>
            </w:r>
          </w:p>
        </w:tc>
        <w:tc>
          <w:tcPr>
            <w:tcW w:w="7371" w:type="dxa"/>
            <w:shd w:val="clear" w:color="auto" w:fill="auto"/>
          </w:tcPr>
          <w:p w14:paraId="6FEDB5F4" w14:textId="2B08B998" w:rsidR="003A160E" w:rsidRPr="005E23B5" w:rsidRDefault="76E8171C" w:rsidP="3EBCC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3EBCCA7D">
              <w:rPr>
                <w:rFonts w:ascii="Arial Nova" w:eastAsia="Arial Nova" w:hAnsi="Arial Nova" w:cs="Arial Nova"/>
                <w:color w:val="000000" w:themeColor="text1"/>
              </w:rPr>
              <w:t>Full-time</w:t>
            </w:r>
            <w:r w:rsidR="4BFB749B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 (default Mon – Fri)</w:t>
            </w:r>
            <w:r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, equivalent to </w:t>
            </w:r>
            <w:r w:rsidR="0F2F0F62" w:rsidRPr="3EBCCA7D">
              <w:rPr>
                <w:rFonts w:ascii="Arial Nova" w:eastAsia="Arial Nova" w:hAnsi="Arial Nova" w:cs="Arial Nova"/>
                <w:color w:val="000000" w:themeColor="text1"/>
              </w:rPr>
              <w:t>37 hours/week.</w:t>
            </w:r>
            <w:r w:rsidR="386DCAAA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 </w:t>
            </w:r>
            <w:r w:rsidR="28A4AF4F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Some </w:t>
            </w:r>
            <w:r w:rsidR="386DCAAA" w:rsidRPr="3EBCCA7D">
              <w:rPr>
                <w:rFonts w:ascii="Arial Nova" w:eastAsia="Arial Nova" w:hAnsi="Arial Nova" w:cs="Arial Nova"/>
                <w:color w:val="000000" w:themeColor="text1"/>
              </w:rPr>
              <w:t>evening meetings</w:t>
            </w:r>
            <w:r w:rsidR="6F492E47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 (on weekdays)</w:t>
            </w:r>
            <w:r w:rsidR="0FC65303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 and occasional weekend events, with corresponding Time Off In Lieu.</w:t>
            </w:r>
          </w:p>
        </w:tc>
      </w:tr>
      <w:tr w:rsidR="008F5A1C" w:rsidRPr="005E23B5" w14:paraId="61B8AD6B" w14:textId="77777777" w:rsidTr="00986D56">
        <w:tc>
          <w:tcPr>
            <w:tcW w:w="2547" w:type="dxa"/>
            <w:shd w:val="clear" w:color="auto" w:fill="auto"/>
          </w:tcPr>
          <w:p w14:paraId="466199E2" w14:textId="77777777" w:rsidR="008F5A1C" w:rsidRPr="005E23B5" w:rsidRDefault="008F5A1C" w:rsidP="00587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b/>
                <w:color w:val="000000"/>
              </w:rPr>
              <w:t xml:space="preserve">Duration: </w:t>
            </w:r>
          </w:p>
        </w:tc>
        <w:tc>
          <w:tcPr>
            <w:tcW w:w="7371" w:type="dxa"/>
            <w:shd w:val="clear" w:color="auto" w:fill="auto"/>
          </w:tcPr>
          <w:p w14:paraId="29594BAB" w14:textId="77777777" w:rsidR="008F5A1C" w:rsidRPr="005E23B5" w:rsidRDefault="008F5A1C" w:rsidP="00587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Permanent contract</w:t>
            </w:r>
          </w:p>
        </w:tc>
      </w:tr>
      <w:tr w:rsidR="008F5A1C" w:rsidRPr="005E23B5" w14:paraId="7558C620" w14:textId="77777777" w:rsidTr="00986D56">
        <w:tc>
          <w:tcPr>
            <w:tcW w:w="2547" w:type="dxa"/>
            <w:shd w:val="clear" w:color="auto" w:fill="auto"/>
          </w:tcPr>
          <w:p w14:paraId="1AA88424" w14:textId="77777777" w:rsidR="008F5A1C" w:rsidRPr="005E23B5" w:rsidRDefault="008F5A1C" w:rsidP="0089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b/>
                <w:color w:val="000000"/>
              </w:rPr>
              <w:t xml:space="preserve">Probationary period: </w:t>
            </w:r>
          </w:p>
        </w:tc>
        <w:tc>
          <w:tcPr>
            <w:tcW w:w="7371" w:type="dxa"/>
            <w:shd w:val="clear" w:color="auto" w:fill="auto"/>
          </w:tcPr>
          <w:p w14:paraId="4DE21552" w14:textId="58ACB69B" w:rsidR="008F5A1C" w:rsidRPr="005E23B5" w:rsidRDefault="3747DB06" w:rsidP="3EBCC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color w:val="000000"/>
              </w:rPr>
            </w:pPr>
            <w:r w:rsidRPr="3EBCCA7D">
              <w:rPr>
                <w:rFonts w:ascii="Arial Nova" w:eastAsia="Arial Nova" w:hAnsi="Arial Nova" w:cs="Arial Nova"/>
                <w:color w:val="000000" w:themeColor="text1"/>
              </w:rPr>
              <w:t>3</w:t>
            </w:r>
            <w:r w:rsidR="5987368E" w:rsidRPr="3EBCCA7D">
              <w:rPr>
                <w:rFonts w:ascii="Arial Nova" w:eastAsia="Arial Nova" w:hAnsi="Arial Nova" w:cs="Arial Nova"/>
                <w:color w:val="000000" w:themeColor="text1"/>
              </w:rPr>
              <w:t xml:space="preserve"> months</w:t>
            </w:r>
          </w:p>
        </w:tc>
      </w:tr>
      <w:tr w:rsidR="003A160E" w:rsidRPr="005E23B5" w14:paraId="099333C2" w14:textId="77777777" w:rsidTr="00986D56">
        <w:tc>
          <w:tcPr>
            <w:tcW w:w="2547" w:type="dxa"/>
            <w:shd w:val="clear" w:color="auto" w:fill="auto"/>
          </w:tcPr>
          <w:p w14:paraId="0CD16082" w14:textId="77777777" w:rsidR="003A160E" w:rsidRPr="005E23B5" w:rsidRDefault="003A160E" w:rsidP="00516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b/>
                <w:color w:val="000000"/>
              </w:rPr>
              <w:t xml:space="preserve">Location: </w:t>
            </w:r>
          </w:p>
        </w:tc>
        <w:tc>
          <w:tcPr>
            <w:tcW w:w="7371" w:type="dxa"/>
            <w:shd w:val="clear" w:color="auto" w:fill="auto"/>
          </w:tcPr>
          <w:p w14:paraId="284F699B" w14:textId="70968A38" w:rsidR="003A160E" w:rsidRPr="00E860CC" w:rsidRDefault="003A160E" w:rsidP="00516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color w:val="000000"/>
              </w:rPr>
              <w:t xml:space="preserve">Northstowe Town Council office (‘The Cabin’, </w:t>
            </w:r>
            <w:r>
              <w:rPr>
                <w:rFonts w:ascii="Arial Nova" w:eastAsia="Arial Nova" w:hAnsi="Arial Nova" w:cs="Arial Nova"/>
                <w:color w:val="000000"/>
              </w:rPr>
              <w:t xml:space="preserve">The Green, </w:t>
            </w:r>
            <w:r w:rsidRPr="005E23B5">
              <w:rPr>
                <w:rFonts w:ascii="Arial Nova" w:eastAsia="Arial Nova" w:hAnsi="Arial Nova" w:cs="Arial Nova"/>
                <w:color w:val="000000"/>
              </w:rPr>
              <w:t>Northstow</w:t>
            </w:r>
            <w:r>
              <w:rPr>
                <w:rFonts w:ascii="Arial Nova" w:eastAsia="Arial Nova" w:hAnsi="Arial Nova" w:cs="Arial Nova"/>
                <w:color w:val="000000"/>
              </w:rPr>
              <w:t>e</w:t>
            </w:r>
            <w:r w:rsidRPr="005E23B5">
              <w:rPr>
                <w:rFonts w:ascii="Arial Nova" w:eastAsia="Arial Nova" w:hAnsi="Arial Nova" w:cs="Arial Nova"/>
                <w:color w:val="000000"/>
              </w:rPr>
              <w:t>)</w:t>
            </w:r>
            <w:r w:rsidR="00E860CC">
              <w:rPr>
                <w:rFonts w:ascii="Arial Nova" w:eastAsia="Arial Nova" w:hAnsi="Arial Nova" w:cs="Arial Nova"/>
                <w:color w:val="000000"/>
              </w:rPr>
              <w:t xml:space="preserve">; potential for </w:t>
            </w:r>
            <w:r w:rsidRPr="005E23B5">
              <w:rPr>
                <w:rFonts w:ascii="Arial Nova" w:eastAsia="Arial Nova" w:hAnsi="Arial Nova" w:cs="Arial Nova"/>
                <w:color w:val="000000"/>
              </w:rPr>
              <w:t>some home working</w:t>
            </w:r>
            <w:r w:rsidR="00E860CC">
              <w:rPr>
                <w:rFonts w:ascii="Arial Nova" w:eastAsia="Arial Nova" w:hAnsi="Arial Nova" w:cs="Arial Nova"/>
                <w:color w:val="000000"/>
              </w:rPr>
              <w:t>.</w:t>
            </w:r>
          </w:p>
        </w:tc>
      </w:tr>
      <w:tr w:rsidR="00A67A51" w:rsidRPr="005E23B5" w14:paraId="76487437" w14:textId="77777777" w:rsidTr="00986D56">
        <w:tc>
          <w:tcPr>
            <w:tcW w:w="2547" w:type="dxa"/>
            <w:shd w:val="clear" w:color="auto" w:fill="auto"/>
          </w:tcPr>
          <w:p w14:paraId="6D199FDA" w14:textId="77777777" w:rsidR="00A67A51" w:rsidRPr="005E23B5" w:rsidRDefault="00A67A51" w:rsidP="004A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b/>
                <w:color w:val="000000"/>
              </w:rPr>
              <w:t xml:space="preserve">Salary Range: </w:t>
            </w:r>
          </w:p>
        </w:tc>
        <w:tc>
          <w:tcPr>
            <w:tcW w:w="7371" w:type="dxa"/>
            <w:shd w:val="clear" w:color="auto" w:fill="auto"/>
          </w:tcPr>
          <w:p w14:paraId="0B166C61" w14:textId="518738E7" w:rsidR="00A67A51" w:rsidRPr="004B723A" w:rsidRDefault="4BFB749B" w:rsidP="6564D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b/>
                <w:bCs/>
                <w:color w:val="1F3863"/>
              </w:rPr>
            </w:pPr>
            <w:r w:rsidRPr="6564DEA9">
              <w:rPr>
                <w:lang w:eastAsia="en-GB"/>
              </w:rPr>
              <w:t>NJC SCP 33 – 36 (</w:t>
            </w:r>
            <w:r w:rsidR="0910C76D" w:rsidRPr="6564DEA9">
              <w:rPr>
                <w:lang w:eastAsia="en-GB"/>
              </w:rPr>
              <w:t>current</w:t>
            </w:r>
            <w:r w:rsidR="5040F834" w:rsidRPr="6564DEA9">
              <w:rPr>
                <w:lang w:eastAsia="en-GB"/>
              </w:rPr>
              <w:t xml:space="preserve">ly, at </w:t>
            </w:r>
            <w:r w:rsidR="0910C76D" w:rsidRPr="6564DEA9">
              <w:rPr>
                <w:lang w:eastAsia="en-GB"/>
              </w:rPr>
              <w:t>2024</w:t>
            </w:r>
            <w:r w:rsidR="5040F834" w:rsidRPr="6564DEA9">
              <w:rPr>
                <w:lang w:eastAsia="en-GB"/>
              </w:rPr>
              <w:t xml:space="preserve"> </w:t>
            </w:r>
            <w:r w:rsidR="4AA0FA74" w:rsidRPr="6564DEA9">
              <w:rPr>
                <w:lang w:eastAsia="en-GB"/>
              </w:rPr>
              <w:t>National Pay Agreement scales</w:t>
            </w:r>
            <w:r w:rsidR="5040F834" w:rsidRPr="6564DEA9">
              <w:rPr>
                <w:lang w:eastAsia="en-GB"/>
              </w:rPr>
              <w:t>:</w:t>
            </w:r>
            <w:r w:rsidR="0910C76D" w:rsidRPr="6564DEA9">
              <w:rPr>
                <w:lang w:eastAsia="en-GB"/>
              </w:rPr>
              <w:t xml:space="preserve"> </w:t>
            </w:r>
            <w:r w:rsidRPr="6564DEA9">
              <w:rPr>
                <w:lang w:eastAsia="en-GB"/>
              </w:rPr>
              <w:t>£4</w:t>
            </w:r>
            <w:r w:rsidR="6C684EEE" w:rsidRPr="6564DEA9">
              <w:rPr>
                <w:lang w:eastAsia="en-GB"/>
              </w:rPr>
              <w:t>2,708</w:t>
            </w:r>
            <w:r w:rsidRPr="6564DEA9">
              <w:rPr>
                <w:lang w:eastAsia="en-GB"/>
              </w:rPr>
              <w:t xml:space="preserve"> - £4</w:t>
            </w:r>
            <w:r w:rsidR="1FB1F14E" w:rsidRPr="6564DEA9">
              <w:rPr>
                <w:lang w:eastAsia="en-GB"/>
              </w:rPr>
              <w:t>5,718</w:t>
            </w:r>
            <w:r w:rsidRPr="6564DEA9">
              <w:rPr>
                <w:lang w:eastAsia="en-GB"/>
              </w:rPr>
              <w:t xml:space="preserve">) - </w:t>
            </w:r>
            <w:r w:rsidR="43CB20F6" w:rsidRPr="6564DEA9">
              <w:rPr>
                <w:rFonts w:ascii="Arial Nova" w:eastAsia="Arial Nova" w:hAnsi="Arial Nova" w:cs="Arial Nova"/>
                <w:color w:val="000000" w:themeColor="text1"/>
              </w:rPr>
              <w:t xml:space="preserve">dependent upon </w:t>
            </w:r>
            <w:r w:rsidRPr="6564DEA9">
              <w:rPr>
                <w:rFonts w:ascii="Arial Nova" w:eastAsia="Arial Nova" w:hAnsi="Arial Nova" w:cs="Arial Nova"/>
                <w:color w:val="000000" w:themeColor="text1"/>
              </w:rPr>
              <w:t>experience</w:t>
            </w:r>
            <w:r w:rsidR="43CB20F6" w:rsidRPr="6564DEA9">
              <w:rPr>
                <w:rFonts w:ascii="Arial Nova" w:eastAsia="Arial Nova" w:hAnsi="Arial Nova" w:cs="Arial Nova"/>
                <w:color w:val="000000" w:themeColor="text1"/>
              </w:rPr>
              <w:t xml:space="preserve"> and qualifications</w:t>
            </w:r>
            <w:r w:rsidRPr="6564DEA9">
              <w:rPr>
                <w:rFonts w:ascii="Arial Nova" w:eastAsia="Arial Nova" w:hAnsi="Arial Nova" w:cs="Arial Nova"/>
                <w:color w:val="000000" w:themeColor="text1"/>
              </w:rPr>
              <w:t>.</w:t>
            </w:r>
          </w:p>
        </w:tc>
      </w:tr>
      <w:tr w:rsidR="00A67A51" w:rsidRPr="005E23B5" w14:paraId="46E92EE8" w14:textId="77777777" w:rsidTr="00986D56">
        <w:tc>
          <w:tcPr>
            <w:tcW w:w="2547" w:type="dxa"/>
            <w:shd w:val="clear" w:color="auto" w:fill="auto"/>
          </w:tcPr>
          <w:p w14:paraId="61FE24C8" w14:textId="77777777" w:rsidR="00A67A51" w:rsidRPr="005E23B5" w:rsidRDefault="00A67A51" w:rsidP="004A645E">
            <w:pPr>
              <w:rPr>
                <w:rFonts w:ascii="Arial Nova" w:eastAsia="Arial Nova" w:hAnsi="Arial Nova" w:cs="Arial Nova"/>
              </w:rPr>
            </w:pPr>
            <w:r w:rsidRPr="005E23B5">
              <w:rPr>
                <w:rFonts w:ascii="Arial Nova" w:eastAsia="Arial Nova" w:hAnsi="Arial Nova" w:cs="Arial Nova"/>
                <w:b/>
              </w:rPr>
              <w:t>Start:</w:t>
            </w:r>
          </w:p>
        </w:tc>
        <w:tc>
          <w:tcPr>
            <w:tcW w:w="7371" w:type="dxa"/>
            <w:shd w:val="clear" w:color="auto" w:fill="auto"/>
          </w:tcPr>
          <w:p w14:paraId="6DD60776" w14:textId="77777777" w:rsidR="00A67A51" w:rsidRPr="005E23B5" w:rsidRDefault="00A67A51" w:rsidP="004A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</w:rPr>
            </w:pPr>
            <w:r w:rsidRPr="005E23B5">
              <w:rPr>
                <w:rFonts w:ascii="Arial Nova" w:eastAsia="Arial Nova" w:hAnsi="Arial Nova" w:cs="Arial Nova"/>
                <w:color w:val="000000"/>
              </w:rPr>
              <w:t>As soon as possible.</w:t>
            </w:r>
          </w:p>
        </w:tc>
      </w:tr>
    </w:tbl>
    <w:p w14:paraId="37341D12" w14:textId="1AC020C5" w:rsidR="00355A0F" w:rsidRPr="00986D56" w:rsidRDefault="00355A0F" w:rsidP="3EBCCA7D">
      <w:pPr>
        <w:rPr>
          <w:rFonts w:eastAsia="Times New Roman"/>
          <w:sz w:val="18"/>
          <w:szCs w:val="18"/>
          <w:lang w:eastAsia="en-GB"/>
        </w:rPr>
      </w:pPr>
    </w:p>
    <w:p w14:paraId="57D69383" w14:textId="77777777" w:rsidR="00355A0F" w:rsidRPr="00986D56" w:rsidRDefault="00355A0F" w:rsidP="00986D56">
      <w:pPr>
        <w:pStyle w:val="Heading1"/>
        <w:spacing w:before="120" w:after="0"/>
        <w:rPr>
          <w:rFonts w:eastAsia="Times New Roman"/>
          <w:b/>
          <w:bCs/>
          <w:lang w:eastAsia="en-GB"/>
        </w:rPr>
      </w:pPr>
      <w:r w:rsidRPr="00986D56">
        <w:rPr>
          <w:rFonts w:eastAsia="Times New Roman"/>
          <w:b/>
          <w:bCs/>
          <w:lang w:eastAsia="en-GB"/>
        </w:rPr>
        <w:t>Description of Duties and Responsibilities</w:t>
      </w:r>
    </w:p>
    <w:p w14:paraId="5DE5F6CF" w14:textId="099D207A" w:rsidR="00355A0F" w:rsidRDefault="00355A0F" w:rsidP="00355A0F">
      <w:pPr>
        <w:rPr>
          <w:lang w:eastAsia="en-GB"/>
        </w:rPr>
      </w:pPr>
      <w:r w:rsidRPr="3EBCCA7D">
        <w:rPr>
          <w:lang w:eastAsia="en-GB"/>
        </w:rPr>
        <w:t>Northstowe Town Council is dedicated to the strategic development and management of community assets to enhance the quality of life for all residents.</w:t>
      </w:r>
      <w:r w:rsidR="00986D56">
        <w:rPr>
          <w:lang w:eastAsia="en-GB"/>
        </w:rPr>
        <w:t xml:space="preserve"> </w:t>
      </w:r>
      <w:r w:rsidRPr="3EBCCA7D">
        <w:rPr>
          <w:lang w:eastAsia="en-GB"/>
        </w:rPr>
        <w:t xml:space="preserve"> As we navigate the complexities of </w:t>
      </w:r>
      <w:r w:rsidR="400A97DB" w:rsidRPr="3EBCCA7D">
        <w:rPr>
          <w:lang w:eastAsia="en-GB"/>
        </w:rPr>
        <w:t xml:space="preserve">acquiring and </w:t>
      </w:r>
      <w:r w:rsidRPr="3EBCCA7D">
        <w:rPr>
          <w:lang w:eastAsia="en-GB"/>
        </w:rPr>
        <w:t>managing new assets, the Assets &amp; Estates Manager will play a pivotal role in ensuring these assets deliver maximum community benefit.</w:t>
      </w:r>
    </w:p>
    <w:p w14:paraId="456549A3" w14:textId="77777777" w:rsidR="00355A0F" w:rsidRPr="00355A0F" w:rsidRDefault="00355A0F" w:rsidP="00355A0F">
      <w:pPr>
        <w:rPr>
          <w:lang w:eastAsia="en-GB"/>
        </w:rPr>
      </w:pPr>
    </w:p>
    <w:p w14:paraId="5A3A4474" w14:textId="77777777" w:rsidR="00355A0F" w:rsidRPr="00986D56" w:rsidRDefault="00355A0F" w:rsidP="00986D56">
      <w:pPr>
        <w:pStyle w:val="Heading2"/>
        <w:spacing w:before="0" w:after="0"/>
        <w:rPr>
          <w:rFonts w:eastAsia="Times New Roman"/>
          <w:b/>
          <w:bCs/>
          <w:lang w:eastAsia="en-GB"/>
        </w:rPr>
      </w:pPr>
      <w:r w:rsidRPr="00986D56">
        <w:rPr>
          <w:rFonts w:eastAsia="Times New Roman"/>
          <w:b/>
          <w:bCs/>
          <w:lang w:eastAsia="en-GB"/>
        </w:rPr>
        <w:t>Core Responsibilities:</w:t>
      </w:r>
    </w:p>
    <w:p w14:paraId="3091699B" w14:textId="576F0EBB" w:rsidR="00355A0F" w:rsidRPr="00355A0F" w:rsidRDefault="3637DBE8" w:rsidP="00986D56">
      <w:pPr>
        <w:pStyle w:val="ListParagraph"/>
        <w:numPr>
          <w:ilvl w:val="0"/>
          <w:numId w:val="7"/>
        </w:numPr>
        <w:ind w:left="284" w:hanging="284"/>
        <w:rPr>
          <w:b/>
          <w:bCs/>
          <w:lang w:eastAsia="en-GB"/>
        </w:rPr>
      </w:pPr>
      <w:r w:rsidRPr="3EBCCA7D">
        <w:rPr>
          <w:b/>
          <w:bCs/>
          <w:lang w:eastAsia="en-GB"/>
        </w:rPr>
        <w:t>Asset Management and Maintenance:</w:t>
      </w:r>
    </w:p>
    <w:p w14:paraId="43336A51" w14:textId="77777777" w:rsidR="00355A0F" w:rsidRPr="00355A0F" w:rsidRDefault="3637DBE8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3EBCCA7D">
        <w:rPr>
          <w:lang w:eastAsia="en-GB"/>
        </w:rPr>
        <w:t>Develop and implement a comprehensive asset and estates plan to guide the sustainable management of buildings and green spaces.</w:t>
      </w:r>
    </w:p>
    <w:p w14:paraId="5C98BE7F" w14:textId="77777777" w:rsidR="00355A0F" w:rsidRPr="00355A0F" w:rsidRDefault="3637DBE8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3EBCCA7D">
        <w:rPr>
          <w:lang w:eastAsia="en-GB"/>
        </w:rPr>
        <w:t>Ensure all properties demonstrate compliance with relevant regulatory requirements, including routine servicing and maintenance.</w:t>
      </w:r>
    </w:p>
    <w:p w14:paraId="56B14947" w14:textId="77777777" w:rsidR="00355A0F" w:rsidRPr="00355A0F" w:rsidRDefault="3637DBE8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3EBCCA7D">
        <w:rPr>
          <w:lang w:eastAsia="en-GB"/>
        </w:rPr>
        <w:t>Oversee contract management for estates and maintenance contracts across the portfolio.</w:t>
      </w:r>
    </w:p>
    <w:p w14:paraId="012103A5" w14:textId="26506863" w:rsidR="00355A0F" w:rsidRPr="00355A0F" w:rsidRDefault="77AE447C" w:rsidP="00986D56">
      <w:pPr>
        <w:pStyle w:val="ListParagraph"/>
        <w:numPr>
          <w:ilvl w:val="1"/>
          <w:numId w:val="7"/>
        </w:numPr>
        <w:ind w:left="709" w:hanging="283"/>
        <w:rPr>
          <w:lang w:eastAsia="en-GB"/>
        </w:rPr>
      </w:pPr>
      <w:r w:rsidRPr="3EBCCA7D">
        <w:rPr>
          <w:lang w:eastAsia="en-GB"/>
        </w:rPr>
        <w:t xml:space="preserve">Manage the Unity Centre, once transferred to NTC, including opening and closing the centre as required, and undertake </w:t>
      </w:r>
      <w:r w:rsidR="3637DBE8" w:rsidRPr="3EBCCA7D">
        <w:rPr>
          <w:lang w:eastAsia="en-GB"/>
        </w:rPr>
        <w:t>some maintenance tasks personally, where possible</w:t>
      </w:r>
      <w:r w:rsidR="1609BC0B" w:rsidRPr="3EBCCA7D">
        <w:rPr>
          <w:lang w:eastAsia="en-GB"/>
        </w:rPr>
        <w:t xml:space="preserve"> (see Horizon Scanning below).</w:t>
      </w:r>
    </w:p>
    <w:p w14:paraId="08610D81" w14:textId="57504914" w:rsidR="00355A0F" w:rsidRPr="00355A0F" w:rsidRDefault="00355A0F" w:rsidP="00986D56">
      <w:pPr>
        <w:pStyle w:val="ListParagraph"/>
        <w:numPr>
          <w:ilvl w:val="0"/>
          <w:numId w:val="7"/>
        </w:numPr>
        <w:spacing w:before="120"/>
        <w:ind w:left="284" w:hanging="284"/>
        <w:contextualSpacing w:val="0"/>
        <w:rPr>
          <w:b/>
          <w:bCs/>
          <w:lang w:eastAsia="en-GB"/>
        </w:rPr>
      </w:pPr>
      <w:r w:rsidRPr="3EBCCA7D">
        <w:rPr>
          <w:b/>
          <w:bCs/>
          <w:lang w:eastAsia="en-GB"/>
        </w:rPr>
        <w:t>Asset Transfer and Acquisition Strategy:</w:t>
      </w:r>
    </w:p>
    <w:p w14:paraId="0E4FCEE8" w14:textId="41D78CA5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4"/>
        <w:contextualSpacing w:val="0"/>
        <w:rPr>
          <w:lang w:eastAsia="en-GB"/>
        </w:rPr>
      </w:pPr>
      <w:r w:rsidRPr="00355A0F">
        <w:rPr>
          <w:lang w:eastAsia="en-GB"/>
        </w:rPr>
        <w:t>Lead the identification and assessment of potential assets for transfer, analysing their viability and strategic value to the community.</w:t>
      </w:r>
    </w:p>
    <w:p w14:paraId="26C140DF" w14:textId="0E4D2EB6" w:rsidR="00355A0F" w:rsidRPr="00355A0F" w:rsidRDefault="00355A0F" w:rsidP="00986D56">
      <w:pPr>
        <w:pStyle w:val="ListParagraph"/>
        <w:numPr>
          <w:ilvl w:val="1"/>
          <w:numId w:val="7"/>
        </w:numPr>
        <w:ind w:left="709" w:hanging="283"/>
        <w:rPr>
          <w:lang w:eastAsia="en-GB"/>
        </w:rPr>
      </w:pPr>
      <w:r w:rsidRPr="00355A0F">
        <w:rPr>
          <w:lang w:eastAsia="en-GB"/>
        </w:rPr>
        <w:t>Prepare detailed business cases and bids for asset transfers, ensuring alignment with timelines and requirements.</w:t>
      </w:r>
    </w:p>
    <w:p w14:paraId="3BB5CF88" w14:textId="088749A8" w:rsid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3EBCCA7D">
        <w:rPr>
          <w:lang w:eastAsia="en-GB"/>
        </w:rPr>
        <w:t>Manage all aspects of the asset transfer process, from initial expression of interest through to proposal submission and assessment</w:t>
      </w:r>
      <w:r w:rsidR="6B369D87" w:rsidRPr="3EBCCA7D">
        <w:rPr>
          <w:lang w:eastAsia="en-GB"/>
        </w:rPr>
        <w:t>, in accordance with strategic decisions made by the Council.</w:t>
      </w:r>
    </w:p>
    <w:p w14:paraId="4FBA25A0" w14:textId="77777777" w:rsidR="00355A0F" w:rsidRPr="00355A0F" w:rsidRDefault="00355A0F" w:rsidP="00986D56">
      <w:pPr>
        <w:pStyle w:val="ListParagraph"/>
        <w:numPr>
          <w:ilvl w:val="0"/>
          <w:numId w:val="7"/>
        </w:numPr>
        <w:ind w:left="284" w:hanging="284"/>
        <w:rPr>
          <w:b/>
          <w:bCs/>
          <w:lang w:eastAsia="en-GB"/>
        </w:rPr>
      </w:pPr>
      <w:r w:rsidRPr="00355A0F">
        <w:rPr>
          <w:b/>
          <w:bCs/>
          <w:lang w:eastAsia="en-GB"/>
        </w:rPr>
        <w:lastRenderedPageBreak/>
        <w:t>Strategic Engagement and Compliance:</w:t>
      </w:r>
    </w:p>
    <w:p w14:paraId="33423D8C" w14:textId="21FA7468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3EBCCA7D">
        <w:rPr>
          <w:lang w:eastAsia="en-GB"/>
        </w:rPr>
        <w:t>Work closely with S</w:t>
      </w:r>
      <w:r w:rsidR="7BDF303D" w:rsidRPr="3EBCCA7D">
        <w:rPr>
          <w:lang w:eastAsia="en-GB"/>
        </w:rPr>
        <w:t xml:space="preserve">outh </w:t>
      </w:r>
      <w:r w:rsidRPr="3EBCCA7D">
        <w:rPr>
          <w:lang w:eastAsia="en-GB"/>
        </w:rPr>
        <w:t>C</w:t>
      </w:r>
      <w:r w:rsidR="51869849" w:rsidRPr="3EBCCA7D">
        <w:rPr>
          <w:lang w:eastAsia="en-GB"/>
        </w:rPr>
        <w:t>ambridge</w:t>
      </w:r>
      <w:r w:rsidR="578BB9DE" w:rsidRPr="3EBCCA7D">
        <w:rPr>
          <w:lang w:eastAsia="en-GB"/>
        </w:rPr>
        <w:t>shire</w:t>
      </w:r>
      <w:r w:rsidR="51869849" w:rsidRPr="3EBCCA7D">
        <w:rPr>
          <w:lang w:eastAsia="en-GB"/>
        </w:rPr>
        <w:t xml:space="preserve"> </w:t>
      </w:r>
      <w:r w:rsidRPr="3EBCCA7D">
        <w:rPr>
          <w:lang w:eastAsia="en-GB"/>
        </w:rPr>
        <w:t>D</w:t>
      </w:r>
      <w:r w:rsidR="6DE2D4D1" w:rsidRPr="3EBCCA7D">
        <w:rPr>
          <w:lang w:eastAsia="en-GB"/>
        </w:rPr>
        <w:t xml:space="preserve">istrict </w:t>
      </w:r>
      <w:r w:rsidRPr="3EBCCA7D">
        <w:rPr>
          <w:lang w:eastAsia="en-GB"/>
        </w:rPr>
        <w:t>C</w:t>
      </w:r>
      <w:r w:rsidR="39CFAA9D" w:rsidRPr="3EBCCA7D">
        <w:rPr>
          <w:lang w:eastAsia="en-GB"/>
        </w:rPr>
        <w:t>ouncil (SCDC)</w:t>
      </w:r>
      <w:r w:rsidRPr="3EBCCA7D">
        <w:rPr>
          <w:lang w:eastAsia="en-GB"/>
        </w:rPr>
        <w:t>, other local authorities, and community stakeholders to ensure a coordinated approach to asset management.</w:t>
      </w:r>
    </w:p>
    <w:p w14:paraId="0F3FF635" w14:textId="77777777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Stay updated on changes in legislation relevant to asset management and ensure all activities are compliant with statutory requirements.</w:t>
      </w:r>
    </w:p>
    <w:p w14:paraId="23D51AA2" w14:textId="77777777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Instruct and oversee contractors for necessary works, ensuring high standards are maintained.</w:t>
      </w:r>
    </w:p>
    <w:p w14:paraId="416B885A" w14:textId="77777777" w:rsidR="00355A0F" w:rsidRPr="00355A0F" w:rsidRDefault="00355A0F" w:rsidP="00986D56">
      <w:pPr>
        <w:pStyle w:val="ListParagraph"/>
        <w:numPr>
          <w:ilvl w:val="0"/>
          <w:numId w:val="7"/>
        </w:numPr>
        <w:ind w:left="284" w:hanging="284"/>
        <w:rPr>
          <w:b/>
          <w:bCs/>
          <w:lang w:eastAsia="en-GB"/>
        </w:rPr>
      </w:pPr>
      <w:r w:rsidRPr="00355A0F">
        <w:rPr>
          <w:b/>
          <w:bCs/>
          <w:lang w:eastAsia="en-GB"/>
        </w:rPr>
        <w:t>Financial and Team Management:</w:t>
      </w:r>
    </w:p>
    <w:p w14:paraId="555AB3D2" w14:textId="77777777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Collaborate with the Town Clerk to manage budgets for assets and estates effectively.</w:t>
      </w:r>
    </w:p>
    <w:p w14:paraId="13B151F0" w14:textId="77777777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As the council's asset portfolio grows, lead a team that may include groundskeepers, caretakers, and maintenance staff, ensuring effective management and development of team members.</w:t>
      </w:r>
    </w:p>
    <w:p w14:paraId="14A12514" w14:textId="43759329" w:rsid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In cases of recruitment delays, coordinate with con</w:t>
      </w:r>
      <w:r>
        <w:rPr>
          <w:lang w:eastAsia="en-GB"/>
        </w:rPr>
        <w:t>tract</w:t>
      </w:r>
      <w:r w:rsidRPr="00355A0F">
        <w:rPr>
          <w:lang w:eastAsia="en-GB"/>
        </w:rPr>
        <w:t xml:space="preserve"> services to maintain progress on strategic projects.</w:t>
      </w:r>
    </w:p>
    <w:p w14:paraId="5348798C" w14:textId="77777777" w:rsidR="00355A0F" w:rsidRPr="00986D56" w:rsidRDefault="00355A0F" w:rsidP="00355A0F">
      <w:pPr>
        <w:rPr>
          <w:sz w:val="18"/>
          <w:szCs w:val="18"/>
          <w:lang w:eastAsia="en-GB"/>
        </w:rPr>
      </w:pPr>
    </w:p>
    <w:p w14:paraId="05182F49" w14:textId="77777777" w:rsidR="00355A0F" w:rsidRPr="001C128E" w:rsidRDefault="00355A0F" w:rsidP="00986D56">
      <w:pPr>
        <w:pStyle w:val="Heading2"/>
        <w:spacing w:before="0" w:after="0"/>
        <w:rPr>
          <w:rFonts w:eastAsia="Times New Roman"/>
          <w:b/>
          <w:bCs/>
          <w:sz w:val="28"/>
          <w:szCs w:val="28"/>
          <w:lang w:eastAsia="en-GB"/>
        </w:rPr>
      </w:pPr>
      <w:r w:rsidRPr="001C128E">
        <w:rPr>
          <w:rFonts w:eastAsia="Times New Roman"/>
          <w:b/>
          <w:bCs/>
          <w:sz w:val="28"/>
          <w:szCs w:val="28"/>
          <w:lang w:eastAsia="en-GB"/>
        </w:rPr>
        <w:t>Key Result Areas:</w:t>
      </w:r>
    </w:p>
    <w:p w14:paraId="78545AB5" w14:textId="77777777" w:rsidR="00355A0F" w:rsidRPr="00355A0F" w:rsidRDefault="00355A0F" w:rsidP="00986D56">
      <w:pPr>
        <w:pStyle w:val="ListParagraph"/>
        <w:numPr>
          <w:ilvl w:val="0"/>
          <w:numId w:val="7"/>
        </w:numPr>
        <w:ind w:left="284" w:hanging="284"/>
        <w:rPr>
          <w:b/>
          <w:bCs/>
          <w:lang w:eastAsia="en-GB"/>
        </w:rPr>
      </w:pPr>
      <w:r w:rsidRPr="00355A0F">
        <w:rPr>
          <w:b/>
          <w:bCs/>
          <w:lang w:eastAsia="en-GB"/>
        </w:rPr>
        <w:t>Development and Growth:</w:t>
      </w:r>
    </w:p>
    <w:p w14:paraId="0BDAADC8" w14:textId="5195BBD9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Spearhead the growth of Northstowe Town Council’s Assets and Estates portfolio, ensuring assets are acquired strategically and managed effectively.</w:t>
      </w:r>
    </w:p>
    <w:p w14:paraId="5F23A33D" w14:textId="77777777" w:rsidR="00355A0F" w:rsidRPr="00355A0F" w:rsidRDefault="00355A0F" w:rsidP="00986D56">
      <w:pPr>
        <w:pStyle w:val="ListParagraph"/>
        <w:numPr>
          <w:ilvl w:val="0"/>
          <w:numId w:val="7"/>
        </w:numPr>
        <w:ind w:left="284" w:hanging="284"/>
        <w:rPr>
          <w:b/>
          <w:bCs/>
          <w:lang w:eastAsia="en-GB"/>
        </w:rPr>
      </w:pPr>
      <w:r w:rsidRPr="00355A0F">
        <w:rPr>
          <w:b/>
          <w:bCs/>
          <w:lang w:eastAsia="en-GB"/>
        </w:rPr>
        <w:t>Compliance and Efficiency:</w:t>
      </w:r>
    </w:p>
    <w:p w14:paraId="5F499637" w14:textId="508D7DE5" w:rsidR="00355A0F" w:rsidRP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00355A0F">
        <w:rPr>
          <w:lang w:eastAsia="en-GB"/>
        </w:rPr>
        <w:t>Provide effective contract management and ensure building compliance, streamlining processes to enhance operational efficiency.</w:t>
      </w:r>
    </w:p>
    <w:p w14:paraId="7DA0F8EA" w14:textId="77777777" w:rsidR="00355A0F" w:rsidRPr="00355A0F" w:rsidRDefault="00355A0F" w:rsidP="00986D56">
      <w:pPr>
        <w:pStyle w:val="ListParagraph"/>
        <w:numPr>
          <w:ilvl w:val="0"/>
          <w:numId w:val="7"/>
        </w:numPr>
        <w:ind w:left="284" w:hanging="284"/>
        <w:rPr>
          <w:b/>
          <w:bCs/>
          <w:lang w:eastAsia="en-GB"/>
        </w:rPr>
      </w:pPr>
      <w:r w:rsidRPr="00355A0F">
        <w:rPr>
          <w:b/>
          <w:bCs/>
          <w:lang w:eastAsia="en-GB"/>
        </w:rPr>
        <w:t>Community Engagement:</w:t>
      </w:r>
    </w:p>
    <w:p w14:paraId="25149D8A" w14:textId="53A14442" w:rsidR="00355A0F" w:rsidRDefault="00355A0F" w:rsidP="00986D56">
      <w:pPr>
        <w:pStyle w:val="ListParagraph"/>
        <w:numPr>
          <w:ilvl w:val="1"/>
          <w:numId w:val="7"/>
        </w:numPr>
        <w:spacing w:after="60"/>
        <w:ind w:left="709" w:hanging="283"/>
        <w:contextualSpacing w:val="0"/>
        <w:rPr>
          <w:lang w:eastAsia="en-GB"/>
        </w:rPr>
      </w:pPr>
      <w:r w:rsidRPr="6564DEA9">
        <w:rPr>
          <w:lang w:eastAsia="en-GB"/>
        </w:rPr>
        <w:t xml:space="preserve">Deliver assets that </w:t>
      </w:r>
      <w:r w:rsidR="096A630F" w:rsidRPr="6564DEA9">
        <w:rPr>
          <w:lang w:eastAsia="en-GB"/>
        </w:rPr>
        <w:t xml:space="preserve">bring </w:t>
      </w:r>
      <w:r w:rsidRPr="6564DEA9">
        <w:rPr>
          <w:lang w:eastAsia="en-GB"/>
        </w:rPr>
        <w:t xml:space="preserve">long-term benefits </w:t>
      </w:r>
      <w:r w:rsidR="54BB62B3" w:rsidRPr="6564DEA9">
        <w:rPr>
          <w:lang w:eastAsia="en-GB"/>
        </w:rPr>
        <w:t xml:space="preserve">to </w:t>
      </w:r>
      <w:r w:rsidRPr="6564DEA9">
        <w:rPr>
          <w:lang w:eastAsia="en-GB"/>
        </w:rPr>
        <w:t>Northstowe residents and businesses, fostering community engagement and satisfaction.</w:t>
      </w:r>
    </w:p>
    <w:p w14:paraId="2088EE6C" w14:textId="77777777" w:rsidR="00355A0F" w:rsidRPr="0004619B" w:rsidRDefault="00355A0F" w:rsidP="00355A0F">
      <w:pPr>
        <w:rPr>
          <w:sz w:val="20"/>
          <w:szCs w:val="20"/>
          <w:lang w:eastAsia="en-GB"/>
        </w:rPr>
      </w:pPr>
    </w:p>
    <w:p w14:paraId="22EC7DA4" w14:textId="77777777" w:rsidR="00355A0F" w:rsidRPr="001C128E" w:rsidRDefault="00355A0F" w:rsidP="00986D56">
      <w:pPr>
        <w:pStyle w:val="Heading2"/>
        <w:spacing w:before="0" w:after="0"/>
        <w:rPr>
          <w:rFonts w:eastAsia="Times New Roman"/>
          <w:b/>
          <w:bCs/>
          <w:sz w:val="28"/>
          <w:szCs w:val="28"/>
          <w:lang w:eastAsia="en-GB"/>
        </w:rPr>
      </w:pPr>
      <w:r w:rsidRPr="001C128E">
        <w:rPr>
          <w:rFonts w:eastAsia="Times New Roman"/>
          <w:b/>
          <w:bCs/>
          <w:sz w:val="28"/>
          <w:szCs w:val="28"/>
          <w:lang w:eastAsia="en-GB"/>
        </w:rPr>
        <w:t>Key Contacts/Communication Links:</w:t>
      </w:r>
    </w:p>
    <w:p w14:paraId="659CD37E" w14:textId="2B4D849B" w:rsidR="00355A0F" w:rsidRPr="00986D56" w:rsidRDefault="00355A0F" w:rsidP="001C128E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lang w:eastAsia="en-GB"/>
        </w:rPr>
      </w:pPr>
      <w:r w:rsidRPr="6564DEA9">
        <w:rPr>
          <w:b/>
          <w:bCs/>
          <w:lang w:eastAsia="en-GB"/>
        </w:rPr>
        <w:t>Internal:</w:t>
      </w:r>
      <w:r w:rsidRPr="00986D56">
        <w:rPr>
          <w:b/>
          <w:bCs/>
          <w:lang w:eastAsia="en-GB"/>
        </w:rPr>
        <w:t xml:space="preserve"> </w:t>
      </w:r>
      <w:r w:rsidRPr="00986D56">
        <w:rPr>
          <w:lang w:eastAsia="en-GB"/>
        </w:rPr>
        <w:t>Town Clerk, Deputy Town Clerk</w:t>
      </w:r>
      <w:r w:rsidR="5627251C" w:rsidRPr="00986D56">
        <w:rPr>
          <w:lang w:eastAsia="en-GB"/>
        </w:rPr>
        <w:t xml:space="preserve"> and potentially other staff members</w:t>
      </w:r>
      <w:r w:rsidRPr="00986D56">
        <w:rPr>
          <w:lang w:eastAsia="en-GB"/>
        </w:rPr>
        <w:t>, Elected Members.</w:t>
      </w:r>
    </w:p>
    <w:p w14:paraId="4C6A7D96" w14:textId="15327961" w:rsidR="00355A0F" w:rsidRPr="00355A0F" w:rsidRDefault="00355A0F" w:rsidP="00986D56">
      <w:pPr>
        <w:pStyle w:val="ListParagraph"/>
        <w:numPr>
          <w:ilvl w:val="0"/>
          <w:numId w:val="7"/>
        </w:numPr>
        <w:ind w:left="284" w:hanging="284"/>
        <w:rPr>
          <w:lang w:eastAsia="en-GB"/>
        </w:rPr>
      </w:pPr>
      <w:r w:rsidRPr="3EBCCA7D">
        <w:rPr>
          <w:b/>
          <w:bCs/>
          <w:lang w:eastAsia="en-GB"/>
        </w:rPr>
        <w:t>External:</w:t>
      </w:r>
      <w:r w:rsidRPr="3EBCCA7D">
        <w:rPr>
          <w:lang w:eastAsia="en-GB"/>
        </w:rPr>
        <w:t xml:space="preserve"> Partner organi</w:t>
      </w:r>
      <w:r w:rsidR="00C273AD" w:rsidRPr="3EBCCA7D">
        <w:rPr>
          <w:lang w:eastAsia="en-GB"/>
        </w:rPr>
        <w:t>s</w:t>
      </w:r>
      <w:r w:rsidRPr="3EBCCA7D">
        <w:rPr>
          <w:lang w:eastAsia="en-GB"/>
        </w:rPr>
        <w:t xml:space="preserve">ations including SCDC, Cambridgeshire County Council, </w:t>
      </w:r>
      <w:r w:rsidR="00D23684" w:rsidRPr="3EBCCA7D">
        <w:rPr>
          <w:lang w:eastAsia="en-GB"/>
        </w:rPr>
        <w:t xml:space="preserve">Homes England, </w:t>
      </w:r>
      <w:r w:rsidR="1C619DCA" w:rsidRPr="3EBCCA7D">
        <w:rPr>
          <w:lang w:eastAsia="en-GB"/>
        </w:rPr>
        <w:t xml:space="preserve">developers, contractors, green space management companies and facilities operators, community groups, </w:t>
      </w:r>
      <w:r w:rsidRPr="3EBCCA7D">
        <w:rPr>
          <w:lang w:eastAsia="en-GB"/>
        </w:rPr>
        <w:t>Cambridgeshire &amp; Peterborough Combined Authority, Meridian Trust</w:t>
      </w:r>
      <w:r w:rsidR="6543458A" w:rsidRPr="3EBCCA7D">
        <w:rPr>
          <w:lang w:eastAsia="en-GB"/>
        </w:rPr>
        <w:t>, and other stakeholders</w:t>
      </w:r>
      <w:r w:rsidR="09079755" w:rsidRPr="3EBCCA7D">
        <w:rPr>
          <w:lang w:eastAsia="en-GB"/>
        </w:rPr>
        <w:t>.</w:t>
      </w:r>
    </w:p>
    <w:p w14:paraId="0DB5BC3F" w14:textId="77777777" w:rsidR="00350D76" w:rsidRDefault="00350D76" w:rsidP="00752101"/>
    <w:p w14:paraId="5F85D802" w14:textId="5485C267" w:rsidR="70316D7A" w:rsidRPr="001C128E" w:rsidRDefault="70316D7A" w:rsidP="0004619B">
      <w:pPr>
        <w:pStyle w:val="Heading2"/>
        <w:spacing w:before="0" w:after="0" w:line="259" w:lineRule="auto"/>
        <w:rPr>
          <w:rFonts w:eastAsia="Times New Roman"/>
          <w:b/>
          <w:bCs/>
          <w:sz w:val="28"/>
          <w:szCs w:val="28"/>
          <w:lang w:eastAsia="en-GB"/>
        </w:rPr>
      </w:pPr>
      <w:r w:rsidRPr="001C128E">
        <w:rPr>
          <w:rFonts w:eastAsia="Times New Roman"/>
          <w:b/>
          <w:bCs/>
          <w:sz w:val="28"/>
          <w:szCs w:val="28"/>
          <w:lang w:eastAsia="en-GB"/>
        </w:rPr>
        <w:t>Horizon Scanning:</w:t>
      </w:r>
    </w:p>
    <w:p w14:paraId="5D0FED48" w14:textId="5F4C839A" w:rsidR="70316D7A" w:rsidRDefault="70316D7A" w:rsidP="001C128E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b/>
          <w:bCs/>
          <w:lang w:eastAsia="en-GB"/>
        </w:rPr>
      </w:pPr>
      <w:r w:rsidRPr="3EBCCA7D">
        <w:rPr>
          <w:b/>
          <w:bCs/>
          <w:lang w:eastAsia="en-GB"/>
        </w:rPr>
        <w:t>2025/26:</w:t>
      </w:r>
      <w:r w:rsidRPr="001C128E">
        <w:rPr>
          <w:b/>
          <w:bCs/>
          <w:lang w:eastAsia="en-GB"/>
        </w:rPr>
        <w:t xml:space="preserve"> </w:t>
      </w:r>
      <w:r w:rsidRPr="001C128E">
        <w:rPr>
          <w:lang w:eastAsia="en-GB"/>
        </w:rPr>
        <w:t>Work on our operational plans for the management and maintenance of the Unity Centre (bid pending) including leading on recruiting a small team of Caretakers and other support roles to enable expedient opening.</w:t>
      </w:r>
    </w:p>
    <w:p w14:paraId="59482475" w14:textId="3D540642" w:rsidR="70316D7A" w:rsidRPr="001C128E" w:rsidRDefault="70316D7A" w:rsidP="001C128E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b/>
          <w:bCs/>
          <w:lang w:eastAsia="en-GB"/>
        </w:rPr>
      </w:pPr>
      <w:r w:rsidRPr="001C128E">
        <w:rPr>
          <w:b/>
          <w:bCs/>
          <w:lang w:eastAsia="en-GB"/>
        </w:rPr>
        <w:t xml:space="preserve">2026/27: </w:t>
      </w:r>
      <w:r w:rsidRPr="001C128E">
        <w:rPr>
          <w:lang w:eastAsia="en-GB"/>
        </w:rPr>
        <w:t>Operational responsibility for the Unity Centre, including staff scheduling and bringing forward plans to expand the staffing team for the Unity Centre in line with bookings growth.</w:t>
      </w:r>
    </w:p>
    <w:p w14:paraId="29FC382A" w14:textId="3AC02FF1" w:rsidR="70316D7A" w:rsidRDefault="70316D7A" w:rsidP="001C128E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rFonts w:ascii="Aptos" w:eastAsia="Aptos" w:hAnsi="Aptos" w:cs="Aptos"/>
          <w:color w:val="242424"/>
        </w:rPr>
      </w:pPr>
      <w:r w:rsidRPr="001C128E">
        <w:rPr>
          <w:b/>
          <w:bCs/>
          <w:lang w:eastAsia="en-GB"/>
        </w:rPr>
        <w:t>2027</w:t>
      </w:r>
      <w:r w:rsidR="00D16C98" w:rsidRPr="001C128E">
        <w:rPr>
          <w:b/>
          <w:bCs/>
          <w:lang w:eastAsia="en-GB"/>
        </w:rPr>
        <w:t>/</w:t>
      </w:r>
      <w:r w:rsidRPr="001C128E">
        <w:rPr>
          <w:b/>
          <w:bCs/>
          <w:lang w:eastAsia="en-GB"/>
        </w:rPr>
        <w:t xml:space="preserve">28: </w:t>
      </w:r>
      <w:r w:rsidR="114F0B1E" w:rsidRPr="001C128E">
        <w:rPr>
          <w:lang w:eastAsia="en-GB"/>
        </w:rPr>
        <w:t>Li</w:t>
      </w:r>
      <w:r w:rsidRPr="001C128E">
        <w:rPr>
          <w:lang w:eastAsia="en-GB"/>
        </w:rPr>
        <w:t>kely introduction of a centre manager to backfill the aspects of the role that are operationally</w:t>
      </w:r>
      <w:r w:rsidRPr="3EBCCA7D">
        <w:rPr>
          <w:rFonts w:ascii="Aptos" w:eastAsia="Aptos" w:hAnsi="Aptos" w:cs="Aptos"/>
          <w:color w:val="242424"/>
        </w:rPr>
        <w:t xml:space="preserve"> focussed.  </w:t>
      </w:r>
    </w:p>
    <w:p w14:paraId="7256F1C7" w14:textId="2ED0E2D2" w:rsidR="70316D7A" w:rsidRDefault="70316D7A" w:rsidP="001C128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60" w:line="259" w:lineRule="auto"/>
        <w:ind w:left="284" w:hanging="284"/>
        <w:contextualSpacing w:val="0"/>
        <w:rPr>
          <w:rFonts w:ascii="Aptos" w:eastAsia="Aptos" w:hAnsi="Aptos" w:cs="Aptos"/>
          <w:color w:val="242424"/>
        </w:rPr>
      </w:pPr>
      <w:r w:rsidRPr="3EBCCA7D">
        <w:rPr>
          <w:rFonts w:ascii="Aptos" w:eastAsia="Aptos" w:hAnsi="Aptos" w:cs="Aptos"/>
          <w:b/>
          <w:bCs/>
          <w:color w:val="242424"/>
        </w:rPr>
        <w:t xml:space="preserve">2028/29: </w:t>
      </w:r>
      <w:r w:rsidRPr="3EBCCA7D">
        <w:rPr>
          <w:rFonts w:ascii="Aptos" w:eastAsia="Aptos" w:hAnsi="Aptos" w:cs="Aptos"/>
          <w:color w:val="242424"/>
        </w:rPr>
        <w:t>Preparations for open space management, including submitting our plans to relevant authorities and developers.</w:t>
      </w:r>
    </w:p>
    <w:p w14:paraId="2BD2976D" w14:textId="0790DC44" w:rsidR="70316D7A" w:rsidRDefault="70316D7A" w:rsidP="001C128E">
      <w:pPr>
        <w:pStyle w:val="ListParagraph"/>
        <w:numPr>
          <w:ilvl w:val="0"/>
          <w:numId w:val="1"/>
        </w:numPr>
        <w:spacing w:line="259" w:lineRule="auto"/>
        <w:ind w:left="284" w:hanging="284"/>
        <w:rPr>
          <w:rFonts w:ascii="Aptos" w:eastAsia="Aptos" w:hAnsi="Aptos" w:cs="Aptos"/>
          <w:color w:val="242424"/>
        </w:rPr>
      </w:pPr>
      <w:r w:rsidRPr="3EBCCA7D">
        <w:rPr>
          <w:rFonts w:ascii="Aptos" w:eastAsia="Aptos" w:hAnsi="Aptos" w:cs="Aptos"/>
          <w:b/>
          <w:bCs/>
          <w:color w:val="242424"/>
        </w:rPr>
        <w:t xml:space="preserve">2029/30: </w:t>
      </w:r>
      <w:r w:rsidRPr="3EBCCA7D">
        <w:rPr>
          <w:rFonts w:ascii="Aptos" w:eastAsia="Aptos" w:hAnsi="Aptos" w:cs="Aptos"/>
          <w:color w:val="242424"/>
        </w:rPr>
        <w:t>Open Space potentially transfers to the Town Council.</w:t>
      </w:r>
    </w:p>
    <w:p w14:paraId="587A7983" w14:textId="382CC3B1" w:rsidR="3EBCCA7D" w:rsidRDefault="3EBCCA7D"/>
    <w:sectPr w:rsidR="3EBCCA7D" w:rsidSect="001C128E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990"/>
    <w:multiLevelType w:val="hybridMultilevel"/>
    <w:tmpl w:val="14E8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0E0"/>
    <w:multiLevelType w:val="hybridMultilevel"/>
    <w:tmpl w:val="1018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7056"/>
    <w:multiLevelType w:val="multilevel"/>
    <w:tmpl w:val="B4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53252"/>
    <w:multiLevelType w:val="multilevel"/>
    <w:tmpl w:val="7B3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22100"/>
    <w:multiLevelType w:val="multilevel"/>
    <w:tmpl w:val="529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60FFB"/>
    <w:multiLevelType w:val="hybridMultilevel"/>
    <w:tmpl w:val="7C90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0E7E"/>
    <w:multiLevelType w:val="hybridMultilevel"/>
    <w:tmpl w:val="56182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EE3B6"/>
    <w:multiLevelType w:val="hybridMultilevel"/>
    <w:tmpl w:val="57223090"/>
    <w:lvl w:ilvl="0" w:tplc="7918E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E9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E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41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8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C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09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C2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1B93"/>
    <w:multiLevelType w:val="multilevel"/>
    <w:tmpl w:val="0A2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A48BE"/>
    <w:multiLevelType w:val="hybridMultilevel"/>
    <w:tmpl w:val="A4A0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67341">
    <w:abstractNumId w:val="7"/>
  </w:num>
  <w:num w:numId="2" w16cid:durableId="217865269">
    <w:abstractNumId w:val="4"/>
  </w:num>
  <w:num w:numId="3" w16cid:durableId="1443067648">
    <w:abstractNumId w:val="3"/>
  </w:num>
  <w:num w:numId="4" w16cid:durableId="1586066108">
    <w:abstractNumId w:val="2"/>
  </w:num>
  <w:num w:numId="5" w16cid:durableId="67386695">
    <w:abstractNumId w:val="8"/>
  </w:num>
  <w:num w:numId="6" w16cid:durableId="576130216">
    <w:abstractNumId w:val="5"/>
  </w:num>
  <w:num w:numId="7" w16cid:durableId="1667781055">
    <w:abstractNumId w:val="6"/>
  </w:num>
  <w:num w:numId="8" w16cid:durableId="236716661">
    <w:abstractNumId w:val="9"/>
  </w:num>
  <w:num w:numId="9" w16cid:durableId="2144419870">
    <w:abstractNumId w:val="0"/>
  </w:num>
  <w:num w:numId="10" w16cid:durableId="124579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0F"/>
    <w:rsid w:val="0001026D"/>
    <w:rsid w:val="00020B4E"/>
    <w:rsid w:val="0004619B"/>
    <w:rsid w:val="000B2AD8"/>
    <w:rsid w:val="00162A1B"/>
    <w:rsid w:val="001C128E"/>
    <w:rsid w:val="001C2CE6"/>
    <w:rsid w:val="001C7ACD"/>
    <w:rsid w:val="001F420A"/>
    <w:rsid w:val="00201FE7"/>
    <w:rsid w:val="00350D76"/>
    <w:rsid w:val="00355A0F"/>
    <w:rsid w:val="00370F5F"/>
    <w:rsid w:val="003A160E"/>
    <w:rsid w:val="003C0E83"/>
    <w:rsid w:val="003D4655"/>
    <w:rsid w:val="004817A3"/>
    <w:rsid w:val="004A3386"/>
    <w:rsid w:val="004B723A"/>
    <w:rsid w:val="00552CCC"/>
    <w:rsid w:val="005D47D7"/>
    <w:rsid w:val="006422F1"/>
    <w:rsid w:val="00672155"/>
    <w:rsid w:val="00673B13"/>
    <w:rsid w:val="006D1C80"/>
    <w:rsid w:val="006F76A2"/>
    <w:rsid w:val="00751B7B"/>
    <w:rsid w:val="00752101"/>
    <w:rsid w:val="00784197"/>
    <w:rsid w:val="007A7903"/>
    <w:rsid w:val="007B6AAA"/>
    <w:rsid w:val="007C00A7"/>
    <w:rsid w:val="0085725C"/>
    <w:rsid w:val="00894B38"/>
    <w:rsid w:val="008F5A1C"/>
    <w:rsid w:val="00986D56"/>
    <w:rsid w:val="00A67A51"/>
    <w:rsid w:val="00AE16CA"/>
    <w:rsid w:val="00B34FEF"/>
    <w:rsid w:val="00C22298"/>
    <w:rsid w:val="00C273AD"/>
    <w:rsid w:val="00C548B5"/>
    <w:rsid w:val="00C95A69"/>
    <w:rsid w:val="00CC0AE8"/>
    <w:rsid w:val="00D16C98"/>
    <w:rsid w:val="00D23684"/>
    <w:rsid w:val="00D95F64"/>
    <w:rsid w:val="00DA70EC"/>
    <w:rsid w:val="00DB2688"/>
    <w:rsid w:val="00DE5962"/>
    <w:rsid w:val="00DF4AAE"/>
    <w:rsid w:val="00E176B5"/>
    <w:rsid w:val="00E62D03"/>
    <w:rsid w:val="00E860CC"/>
    <w:rsid w:val="00F3540F"/>
    <w:rsid w:val="00F972E9"/>
    <w:rsid w:val="00FA4F53"/>
    <w:rsid w:val="00FB267F"/>
    <w:rsid w:val="00FF06AD"/>
    <w:rsid w:val="01935B1A"/>
    <w:rsid w:val="038CCE0A"/>
    <w:rsid w:val="07B2DFDD"/>
    <w:rsid w:val="08A33388"/>
    <w:rsid w:val="09079755"/>
    <w:rsid w:val="0910C76D"/>
    <w:rsid w:val="096A630F"/>
    <w:rsid w:val="0A426BB8"/>
    <w:rsid w:val="0CC0B273"/>
    <w:rsid w:val="0F2F0F62"/>
    <w:rsid w:val="0F6B8914"/>
    <w:rsid w:val="0FC65303"/>
    <w:rsid w:val="114F0B1E"/>
    <w:rsid w:val="115189CA"/>
    <w:rsid w:val="12A352C2"/>
    <w:rsid w:val="13DD38A2"/>
    <w:rsid w:val="141B170A"/>
    <w:rsid w:val="1598C87D"/>
    <w:rsid w:val="1609BC0B"/>
    <w:rsid w:val="1B9F2BFC"/>
    <w:rsid w:val="1BFAECF5"/>
    <w:rsid w:val="1C619DCA"/>
    <w:rsid w:val="1D6E0F02"/>
    <w:rsid w:val="1FB1F14E"/>
    <w:rsid w:val="2415B297"/>
    <w:rsid w:val="25295C62"/>
    <w:rsid w:val="28A4AF4F"/>
    <w:rsid w:val="2C6DA892"/>
    <w:rsid w:val="2DD32661"/>
    <w:rsid w:val="3116348E"/>
    <w:rsid w:val="352D46B4"/>
    <w:rsid w:val="3637DBE8"/>
    <w:rsid w:val="3747DB06"/>
    <w:rsid w:val="386DCAAA"/>
    <w:rsid w:val="39CFAA9D"/>
    <w:rsid w:val="3BF328F8"/>
    <w:rsid w:val="3EBCCA7D"/>
    <w:rsid w:val="3FD02E80"/>
    <w:rsid w:val="3FE04C64"/>
    <w:rsid w:val="400A97DB"/>
    <w:rsid w:val="42C90D5A"/>
    <w:rsid w:val="43CB20F6"/>
    <w:rsid w:val="4AA0FA74"/>
    <w:rsid w:val="4BB274F8"/>
    <w:rsid w:val="4BFB749B"/>
    <w:rsid w:val="4FAD4019"/>
    <w:rsid w:val="5040F834"/>
    <w:rsid w:val="5096798F"/>
    <w:rsid w:val="51686775"/>
    <w:rsid w:val="51869849"/>
    <w:rsid w:val="52701679"/>
    <w:rsid w:val="54BB62B3"/>
    <w:rsid w:val="5627251C"/>
    <w:rsid w:val="578BB9DE"/>
    <w:rsid w:val="5987368E"/>
    <w:rsid w:val="5AA0BA74"/>
    <w:rsid w:val="5AEAE69B"/>
    <w:rsid w:val="5BDC8769"/>
    <w:rsid w:val="5BE2B3BA"/>
    <w:rsid w:val="61BB5B3E"/>
    <w:rsid w:val="627583B6"/>
    <w:rsid w:val="6543458A"/>
    <w:rsid w:val="6564DEA9"/>
    <w:rsid w:val="6B369D87"/>
    <w:rsid w:val="6B3B6A2A"/>
    <w:rsid w:val="6B7159AA"/>
    <w:rsid w:val="6C684EEE"/>
    <w:rsid w:val="6C7CA3DE"/>
    <w:rsid w:val="6DE2D4D1"/>
    <w:rsid w:val="6F492E47"/>
    <w:rsid w:val="70316D7A"/>
    <w:rsid w:val="704977A0"/>
    <w:rsid w:val="708A7EB8"/>
    <w:rsid w:val="76E8171C"/>
    <w:rsid w:val="77AE447C"/>
    <w:rsid w:val="7AC092F9"/>
    <w:rsid w:val="7BDF303D"/>
    <w:rsid w:val="7BECCA77"/>
    <w:rsid w:val="7D7CD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BB28"/>
  <w15:chartTrackingRefBased/>
  <w15:docId w15:val="{60D293E0-0414-2748-9270-6F658B49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3A"/>
  </w:style>
  <w:style w:type="paragraph" w:styleId="Heading1">
    <w:name w:val="heading 1"/>
    <w:basedOn w:val="Normal"/>
    <w:next w:val="Normal"/>
    <w:link w:val="Heading1Char"/>
    <w:uiPriority w:val="9"/>
    <w:qFormat/>
    <w:rsid w:val="0035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A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A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5A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55A0F"/>
    <w:rPr>
      <w:b/>
      <w:bCs/>
    </w:rPr>
  </w:style>
  <w:style w:type="paragraph" w:styleId="Revision">
    <w:name w:val="Revision"/>
    <w:hidden/>
    <w:uiPriority w:val="99"/>
    <w:semiHidden/>
    <w:rsid w:val="00A67A51"/>
  </w:style>
  <w:style w:type="character" w:styleId="CommentReference">
    <w:name w:val="annotation reference"/>
    <w:basedOn w:val="DefaultParagraphFont"/>
    <w:uiPriority w:val="99"/>
    <w:semiHidden/>
    <w:unhideWhenUsed/>
    <w:rsid w:val="00DB2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3e3143-1a40-486f-b9c5-42a8a0a92169" xsi:nil="true"/>
    <lcf76f155ced4ddcb4097134ff3c332f xmlns="605ff1ce-86cc-4305-9b66-59fc9dc442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45A47D10946B65B2F65CDA5F27F" ma:contentTypeVersion="12" ma:contentTypeDescription="Create a new document." ma:contentTypeScope="" ma:versionID="51434f3a04f426aee6a71e0f5f1d39fd">
  <xsd:schema xmlns:xsd="http://www.w3.org/2001/XMLSchema" xmlns:xs="http://www.w3.org/2001/XMLSchema" xmlns:p="http://schemas.microsoft.com/office/2006/metadata/properties" xmlns:ns2="605ff1ce-86cc-4305-9b66-59fc9dc44259" xmlns:ns3="e53e3143-1a40-486f-b9c5-42a8a0a92169" targetNamespace="http://schemas.microsoft.com/office/2006/metadata/properties" ma:root="true" ma:fieldsID="f473a33a20534ea22009716d8550c1c9" ns2:_="" ns3:_="">
    <xsd:import namespace="605ff1ce-86cc-4305-9b66-59fc9dc44259"/>
    <xsd:import namespace="e53e3143-1a40-486f-b9c5-42a8a0a9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f1ce-86cc-4305-9b66-59fc9dc4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3143-1a40-486f-b9c5-42a8a0a92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2dad7c-f336-4761-bc44-46a8c6599617}" ma:internalName="TaxCatchAll" ma:showField="CatchAllData" ma:web="e53e3143-1a40-486f-b9c5-42a8a0a9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93B1D-FE39-4FE7-BC32-F8027ED62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8D579-69F5-4E98-A6D9-9CF0FB4857FA}">
  <ds:schemaRefs>
    <ds:schemaRef ds:uri="http://schemas.microsoft.com/office/2006/metadata/properties"/>
    <ds:schemaRef ds:uri="http://schemas.microsoft.com/office/infopath/2007/PartnerControls"/>
    <ds:schemaRef ds:uri="e53e3143-1a40-486f-b9c5-42a8a0a92169"/>
    <ds:schemaRef ds:uri="605ff1ce-86cc-4305-9b66-59fc9dc44259"/>
  </ds:schemaRefs>
</ds:datastoreItem>
</file>

<file path=customXml/itemProps3.xml><?xml version="1.0" encoding="utf-8"?>
<ds:datastoreItem xmlns:ds="http://schemas.openxmlformats.org/officeDocument/2006/customXml" ds:itemID="{FD24B595-5737-477E-9296-76B03D0C0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f1ce-86cc-4305-9b66-59fc9dc44259"/>
    <ds:schemaRef ds:uri="e53e3143-1a40-486f-b9c5-42a8a0a9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CAPALC Office</cp:lastModifiedBy>
  <cp:revision>7</cp:revision>
  <cp:lastPrinted>2025-05-20T14:39:00Z</cp:lastPrinted>
  <dcterms:created xsi:type="dcterms:W3CDTF">2025-05-20T14:35:00Z</dcterms:created>
  <dcterms:modified xsi:type="dcterms:W3CDTF">2025-06-03T08:29:00Z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0x010100684FB45A47D10946B65B2F65CDA5F27F</vt:lpwstr>
  </property>
  <property fmtid="{D5CDD505-2E9C-101B-9397-08002B2CF9AE}" pid="3" name="MediaServiceImageTags">
    <vt:lpwstr/>
  </property>
</Properties>
</file>